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5" w:rsidRDefault="00E352B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321DC5" w:rsidRDefault="00E352B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театрознавства та акторської майстерності</w:t>
      </w:r>
    </w:p>
    <w:p w:rsidR="00321DC5" w:rsidRDefault="00321DC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DC5" w:rsidRDefault="00E352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321DC5" w:rsidRDefault="00E352B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12. 03. по 3.04 2020 р.</w:t>
      </w:r>
    </w:p>
    <w:p w:rsidR="00321DC5" w:rsidRDefault="00321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DC5" w:rsidRDefault="00E352B1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color w:val="000000"/>
        </w:rPr>
        <w:t>Історія</w:t>
      </w:r>
      <w:r>
        <w:rPr>
          <w:rFonts w:ascii="Times New Roman" w:hAnsi="Times New Roman" w:cs="Times New Roman"/>
          <w:color w:val="000000"/>
        </w:rPr>
        <w:t xml:space="preserve"> зарубіжного театру</w:t>
      </w:r>
    </w:p>
    <w:p w:rsidR="00321DC5" w:rsidRDefault="00E352B1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321DC5" w:rsidRDefault="00E352B1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КМТ-31</w:t>
      </w:r>
    </w:p>
    <w:p w:rsidR="00321DC5" w:rsidRDefault="00E352B1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 w:rsidR="00455EC5">
        <w:rPr>
          <w:rFonts w:ascii="Times New Roman" w:hAnsi="Times New Roman" w:cs="Times New Roman"/>
          <w:color w:val="000000"/>
          <w:sz w:val="26"/>
          <w:szCs w:val="26"/>
        </w:rPr>
        <w:t xml:space="preserve"> ст викл.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321DC5" w:rsidRDefault="00321D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0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2498"/>
        <w:gridCol w:w="2495"/>
        <w:gridCol w:w="1484"/>
        <w:gridCol w:w="3364"/>
        <w:gridCol w:w="2608"/>
        <w:gridCol w:w="45"/>
        <w:gridCol w:w="40"/>
      </w:tblGrid>
      <w:tr w:rsidR="00321DC5" w:rsidTr="0034081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 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</w:t>
            </w: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321DC5" w:rsidRDefault="00E352B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40" w:type="dxa"/>
          </w:tcPr>
          <w:p w:rsidR="00321DC5" w:rsidRDefault="00321DC5">
            <w:pPr>
              <w:pStyle w:val="Standard"/>
              <w:rPr>
                <w:color w:val="000000"/>
              </w:rPr>
            </w:pPr>
          </w:p>
        </w:tc>
      </w:tr>
      <w:tr w:rsidR="00340814" w:rsidTr="0034081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200"/>
        </w:trPr>
        <w:tc>
          <w:tcPr>
            <w:tcW w:w="2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/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0814" w:rsidRDefault="003408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0814" w:rsidRDefault="003408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340814" w:rsidRDefault="003408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/>
        </w:tc>
        <w:tc>
          <w:tcPr>
            <w:tcW w:w="33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/>
        </w:tc>
        <w:tc>
          <w:tcPr>
            <w:tcW w:w="265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814" w:rsidRDefault="00340814"/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67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Французька «інтелектуальна драма»: Жан Ануй.</w:t>
            </w:r>
          </w:p>
          <w:p w:rsidR="00321DC5" w:rsidRDefault="00E352B1">
            <w:pPr>
              <w:pStyle w:val="Textbody"/>
              <w:jc w:val="both"/>
              <w:rPr>
                <w:spacing w:val="20"/>
              </w:rPr>
            </w:pPr>
            <w:r>
              <w:rPr>
                <w:spacing w:val="20"/>
              </w:rPr>
              <w:t> </w:t>
            </w:r>
          </w:p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фотокопію тез у зошиті надіслати викладачеві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 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драма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Ж. Ануя “Антігона”, зробити аналіз драматургії.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/03/2020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8.</w:t>
            </w:r>
          </w:p>
          <w:p w:rsidR="00321DC5" w:rsidRDefault="00E352B1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Естетичні засади театрального об’єднання «Картелю чотирьох»: творчість Гастона Баті та  Жоржа Пітоєва</w:t>
            </w: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Французька «інтелектуальна 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драма»:</w:t>
            </w:r>
          </w:p>
          <w:p w:rsidR="00321DC5" w:rsidRDefault="00E352B1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Жан Жіроду, Арман Салакру</w:t>
            </w:r>
          </w:p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Сучасна драматургія в теорії та театральній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практиці. – 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Підготувати і законспектувати тези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lastRenderedPageBreak/>
              <w:t>фотокопію тез у зошиті надіслати викладачеві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 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драми Ж. Жіроду, А. салакру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Тема 10.</w:t>
            </w:r>
          </w:p>
          <w:p w:rsidR="00321DC5" w:rsidRDefault="00E352B1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 </w:t>
            </w:r>
            <w:r>
              <w:rPr>
                <w:rFonts w:ascii="Times New Roman" w:hAnsi="Times New Roman"/>
                <w:spacing w:val="20"/>
              </w:rPr>
              <w:t>Театр гротеску Луїджі Піранделло</w:t>
            </w: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театру (10-те видання)/Пер. з англійської. – Львів: Літопис, 2014.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Драматургія Луїджі Піранделло – філософсько-психологічні особливості, композиція, образи</w:t>
            </w:r>
          </w:p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/03/20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, Франклін Г. Гілді. Історія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театру (10-те видання)/Пер. з англійської. – Львів: Літопис, 2014. 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Сучасна драматургія в теорії та театральній практиці. – 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 xml:space="preserve"> викладачеві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lastRenderedPageBreak/>
              <w:t xml:space="preserve">Прочитати 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драму Л. Піранделло “Шість персонажів у пошуках автора”</w:t>
            </w:r>
          </w:p>
        </w:tc>
        <w:tc>
          <w:tcPr>
            <w:tcW w:w="26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>Тема 11.</w:t>
            </w:r>
          </w:p>
          <w:p w:rsidR="00321DC5" w:rsidRDefault="00E352B1">
            <w:pPr>
              <w:pStyle w:val="Textbody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 xml:space="preserve">Екзистенціалізм у </w:t>
            </w:r>
            <w:r>
              <w:rPr>
                <w:rFonts w:ascii="Times New Roman" w:hAnsi="Times New Roman"/>
                <w:spacing w:val="20"/>
              </w:rPr>
              <w:t>Французькій драматургії</w:t>
            </w: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30/03/20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Стайн Дж.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Сучасна драматургія в теорії та театральній практиці. –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В. 3 кн. – Львів, 2003.</w:t>
            </w: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6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Екзистенціалізм у Французькій драматургії</w:t>
            </w: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01/04/20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Працю А. Камю “Міф про Сізіфа”</w:t>
            </w:r>
          </w:p>
        </w:tc>
        <w:tc>
          <w:tcPr>
            <w:tcW w:w="26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1DC5" w:rsidTr="0034081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1200"/>
        </w:trPr>
        <w:tc>
          <w:tcPr>
            <w:tcW w:w="25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4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Драматургія Ж. П. Сартра</w:t>
            </w: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06/04/20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Прочитати: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Ж. П. Сартр “Мухи”</w:t>
            </w:r>
          </w:p>
        </w:tc>
        <w:tc>
          <w:tcPr>
            <w:tcW w:w="26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DC5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Pr="00340814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Pr="0034081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321DC5" w:rsidRPr="00340814" w:rsidRDefault="00321D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DC5" w:rsidRDefault="00E352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321DC5" w:rsidRDefault="00321DC5">
      <w:pPr>
        <w:pStyle w:val="Standard"/>
        <w:jc w:val="center"/>
        <w:rPr>
          <w:color w:val="000000"/>
        </w:rPr>
      </w:pPr>
    </w:p>
    <w:p w:rsidR="00321DC5" w:rsidRDefault="00321DC5">
      <w:pPr>
        <w:pStyle w:val="Standard"/>
        <w:jc w:val="center"/>
        <w:rPr>
          <w:color w:val="000000"/>
        </w:rPr>
      </w:pPr>
    </w:p>
    <w:p w:rsidR="00321DC5" w:rsidRDefault="00E352B1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Викладач  </w:t>
      </w:r>
      <w:r>
        <w:rPr>
          <w:rFonts w:ascii="Times New Roman" w:hAnsi="Times New Roman" w:cs="Times New Roman"/>
          <w:color w:val="000000"/>
        </w:rPr>
        <w:t>____асистент Роса-</w:t>
      </w:r>
      <w:r>
        <w:rPr>
          <w:rFonts w:ascii="Times New Roman" w:hAnsi="Times New Roman" w:cs="Times New Roman"/>
          <w:color w:val="000000"/>
        </w:rPr>
        <w:t>Лаврентій С. І.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Завідувач кафедри    _____проф. Козак Б. М.</w:t>
      </w:r>
    </w:p>
    <w:sectPr w:rsidR="00321DC5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B1" w:rsidRDefault="00E352B1">
      <w:pPr>
        <w:spacing w:after="0" w:line="240" w:lineRule="auto"/>
      </w:pPr>
      <w:r>
        <w:separator/>
      </w:r>
    </w:p>
  </w:endnote>
  <w:endnote w:type="continuationSeparator" w:id="0">
    <w:p w:rsidR="00E352B1" w:rsidRDefault="00E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B1" w:rsidRDefault="00E352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52B1" w:rsidRDefault="00E3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DC5"/>
    <w:rsid w:val="00321DC5"/>
    <w:rsid w:val="00340814"/>
    <w:rsid w:val="00455EC5"/>
    <w:rsid w:val="00E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hyperlink" Target="mailto:i_asori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_asoris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2020-03-16T13:11:00Z</dcterms:created>
  <dcterms:modified xsi:type="dcterms:W3CDTF">2020-03-17T19:03:00Z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