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1" w:rsidRDefault="00BA38A1" w:rsidP="008D795A">
      <w:pPr>
        <w:tabs>
          <w:tab w:val="left" w:pos="709"/>
        </w:tabs>
        <w:ind w:left="6521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Додаток 5</w:t>
      </w:r>
    </w:p>
    <w:p w:rsidR="00BA38A1" w:rsidRDefault="00BA38A1" w:rsidP="008D795A">
      <w:pPr>
        <w:tabs>
          <w:tab w:val="left" w:pos="709"/>
        </w:tabs>
        <w:ind w:left="6521"/>
        <w:jc w:val="center"/>
        <w:rPr>
          <w:szCs w:val="26"/>
        </w:rPr>
      </w:pPr>
      <w:r>
        <w:rPr>
          <w:szCs w:val="26"/>
        </w:rPr>
        <w:t>до Ліцензійних умов</w:t>
      </w:r>
    </w:p>
    <w:p w:rsidR="00BA38A1" w:rsidRDefault="00BA38A1" w:rsidP="00BA38A1">
      <w:pPr>
        <w:tabs>
          <w:tab w:val="left" w:pos="709"/>
        </w:tabs>
        <w:jc w:val="center"/>
        <w:rPr>
          <w:szCs w:val="26"/>
        </w:rPr>
      </w:pPr>
    </w:p>
    <w:p w:rsidR="00BA38A1" w:rsidRPr="00E34397" w:rsidRDefault="00BA38A1" w:rsidP="00BA38A1">
      <w:pPr>
        <w:tabs>
          <w:tab w:val="left" w:pos="709"/>
        </w:tabs>
        <w:jc w:val="center"/>
        <w:rPr>
          <w:szCs w:val="26"/>
        </w:rPr>
      </w:pPr>
      <w:r w:rsidRPr="00E34397">
        <w:rPr>
          <w:szCs w:val="26"/>
        </w:rPr>
        <w:t>ВІДОМОСТІ</w:t>
      </w:r>
    </w:p>
    <w:p w:rsidR="00BA38A1" w:rsidRPr="00E34397" w:rsidRDefault="00BA38A1" w:rsidP="00BA38A1">
      <w:pPr>
        <w:tabs>
          <w:tab w:val="left" w:pos="709"/>
        </w:tabs>
        <w:jc w:val="center"/>
        <w:rPr>
          <w:szCs w:val="26"/>
        </w:rPr>
      </w:pPr>
      <w:r w:rsidRPr="00E34397">
        <w:rPr>
          <w:szCs w:val="26"/>
        </w:rPr>
        <w:t>про навчально-методичне забезпечення</w:t>
      </w:r>
    </w:p>
    <w:p w:rsidR="00BA38A1" w:rsidRPr="00E34397" w:rsidRDefault="00BA38A1" w:rsidP="00BA38A1">
      <w:pPr>
        <w:tabs>
          <w:tab w:val="left" w:pos="709"/>
        </w:tabs>
        <w:jc w:val="center"/>
        <w:rPr>
          <w:szCs w:val="26"/>
        </w:rPr>
      </w:pPr>
      <w:r w:rsidRPr="00E34397">
        <w:rPr>
          <w:szCs w:val="26"/>
        </w:rPr>
        <w:t>освітньої діяльності у сфері вищої освіти</w:t>
      </w:r>
    </w:p>
    <w:p w:rsidR="00BA38A1" w:rsidRPr="00E34397" w:rsidRDefault="00BA38A1" w:rsidP="00BA38A1">
      <w:pPr>
        <w:tabs>
          <w:tab w:val="left" w:pos="709"/>
        </w:tabs>
        <w:jc w:val="center"/>
        <w:rPr>
          <w:szCs w:val="26"/>
        </w:rPr>
      </w:pPr>
    </w:p>
    <w:p w:rsidR="00BA38A1" w:rsidRPr="00E34397" w:rsidRDefault="00BA38A1" w:rsidP="00BA38A1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  <w:r w:rsidRPr="00E34397">
        <w:rPr>
          <w:rFonts w:ascii="Antiqua" w:hAnsi="Antiqua"/>
          <w:sz w:val="26"/>
          <w:szCs w:val="26"/>
        </w:rPr>
        <w:t>1. Відомості</w:t>
      </w:r>
      <w:r w:rsidRPr="00E34397">
        <w:rPr>
          <w:rFonts w:ascii="Antiqua" w:hAnsi="Antiqua"/>
          <w:sz w:val="26"/>
          <w:szCs w:val="26"/>
          <w:lang w:val="ru-RU"/>
        </w:rPr>
        <w:t xml:space="preserve"> про </w:t>
      </w:r>
      <w:r w:rsidRPr="00E34397">
        <w:rPr>
          <w:rFonts w:ascii="Antiqua" w:hAnsi="Antiqua"/>
          <w:sz w:val="26"/>
          <w:szCs w:val="26"/>
        </w:rPr>
        <w:t>комплекс навчально-методичного забезпечення навчальних дисциплін</w:t>
      </w:r>
    </w:p>
    <w:p w:rsidR="00BA38A1" w:rsidRPr="00E34397" w:rsidRDefault="00BA38A1" w:rsidP="00BA38A1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tbl>
      <w:tblPr>
        <w:tblW w:w="101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42"/>
        <w:gridCol w:w="1344"/>
        <w:gridCol w:w="42"/>
        <w:gridCol w:w="1174"/>
        <w:gridCol w:w="42"/>
        <w:gridCol w:w="1262"/>
        <w:gridCol w:w="42"/>
        <w:gridCol w:w="1049"/>
        <w:gridCol w:w="42"/>
        <w:gridCol w:w="1578"/>
        <w:gridCol w:w="42"/>
        <w:gridCol w:w="1421"/>
        <w:gridCol w:w="42"/>
      </w:tblGrid>
      <w:tr w:rsidR="00BA38A1" w:rsidRPr="00072274" w:rsidTr="00055DE6">
        <w:trPr>
          <w:gridAfter w:val="1"/>
          <w:wAfter w:w="42" w:type="dxa"/>
          <w:cantSplit/>
          <w:trHeight w:val="20"/>
          <w:jc w:val="center"/>
        </w:trPr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0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Найменування навчальної дисципліни згідно з навчальним планом</w:t>
            </w:r>
          </w:p>
        </w:tc>
        <w:tc>
          <w:tcPr>
            <w:tcW w:w="8080" w:type="dxa"/>
            <w:gridSpan w:val="12"/>
            <w:tcBorders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spacing w:before="60" w:after="60"/>
              <w:ind w:left="-125" w:right="-136"/>
              <w:jc w:val="center"/>
              <w:rPr>
                <w:sz w:val="24"/>
                <w:szCs w:val="24"/>
              </w:rPr>
            </w:pPr>
            <w:r w:rsidRPr="00072274">
              <w:rPr>
                <w:sz w:val="24"/>
                <w:szCs w:val="24"/>
              </w:rPr>
              <w:t xml:space="preserve">Інформація про наявність (“+”, “–” або </w:t>
            </w:r>
            <w:r>
              <w:rPr>
                <w:sz w:val="24"/>
                <w:szCs w:val="24"/>
              </w:rPr>
              <w:t>немає потреби</w:t>
            </w:r>
            <w:r w:rsidRPr="00072274">
              <w:rPr>
                <w:sz w:val="24"/>
                <w:szCs w:val="24"/>
              </w:rPr>
              <w:t>)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vMerge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навчального контенту</w:t>
            </w:r>
          </w:p>
        </w:tc>
        <w:tc>
          <w:tcPr>
            <w:tcW w:w="1216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 xml:space="preserve">планів </w:t>
            </w:r>
            <w:r w:rsidRPr="00072274">
              <w:rPr>
                <w:rFonts w:ascii="Antiqua" w:hAnsi="Antiqua"/>
                <w:spacing w:val="-4"/>
              </w:rPr>
              <w:t>практичних</w:t>
            </w:r>
            <w:r w:rsidRPr="00072274">
              <w:rPr>
                <w:rFonts w:ascii="Antiqua" w:hAnsi="Antiqua"/>
              </w:rPr>
              <w:t xml:space="preserve"> (семінар-ських) занять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завдань для лабораторних робіт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 xml:space="preserve">завдань для самостій-ної роботи </w:t>
            </w:r>
            <w:r w:rsidRPr="00072274">
              <w:rPr>
                <w:rFonts w:ascii="Antiqua" w:hAnsi="Antiqua"/>
                <w:spacing w:val="-4"/>
              </w:rPr>
              <w:t>студентів*</w:t>
            </w:r>
          </w:p>
        </w:tc>
        <w:tc>
          <w:tcPr>
            <w:tcW w:w="1620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before="60" w:after="6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spacing w:before="60" w:after="60"/>
              <w:ind w:left="-125" w:right="-136"/>
              <w:jc w:val="center"/>
              <w:rPr>
                <w:sz w:val="24"/>
                <w:szCs w:val="24"/>
              </w:rPr>
            </w:pPr>
            <w:r w:rsidRPr="00072274">
              <w:rPr>
                <w:sz w:val="24"/>
                <w:szCs w:val="24"/>
              </w:rPr>
              <w:t xml:space="preserve">завдань для </w:t>
            </w:r>
            <w:r w:rsidRPr="00072274">
              <w:rPr>
                <w:spacing w:val="-4"/>
                <w:sz w:val="24"/>
                <w:szCs w:val="24"/>
              </w:rPr>
              <w:t>комплексної</w:t>
            </w:r>
            <w:r w:rsidRPr="00072274">
              <w:rPr>
                <w:sz w:val="24"/>
                <w:szCs w:val="24"/>
              </w:rPr>
              <w:t xml:space="preserve"> </w:t>
            </w:r>
            <w:r w:rsidRPr="00072274">
              <w:rPr>
                <w:spacing w:val="-4"/>
                <w:sz w:val="24"/>
                <w:szCs w:val="24"/>
              </w:rPr>
              <w:t>контрольної</w:t>
            </w:r>
            <w:r w:rsidRPr="00072274">
              <w:rPr>
                <w:sz w:val="24"/>
                <w:szCs w:val="24"/>
              </w:rPr>
              <w:t xml:space="preserve"> роботи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trHeight w:val="478"/>
          <w:jc w:val="center"/>
        </w:trPr>
        <w:tc>
          <w:tcPr>
            <w:tcW w:w="1013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ind w:left="-57" w:right="-57"/>
              <w:jc w:val="center"/>
              <w:rPr>
                <w:b/>
                <w:sz w:val="24"/>
                <w:szCs w:val="26"/>
              </w:rPr>
            </w:pPr>
            <w:r w:rsidRPr="00072274">
              <w:rPr>
                <w:b/>
                <w:sz w:val="24"/>
                <w:szCs w:val="28"/>
              </w:rPr>
              <w:t>1. Нормативні навчальні дисципліни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rPr>
                <w:rFonts w:ascii="Times New Roman" w:hAnsi="Times New Roman"/>
                <w:sz w:val="24"/>
                <w:szCs w:val="24"/>
              </w:rPr>
            </w:pPr>
            <w:r w:rsidRPr="00072274">
              <w:rPr>
                <w:rFonts w:ascii="Times New Roman" w:hAnsi="Times New Roman"/>
                <w:sz w:val="24"/>
                <w:szCs w:val="24"/>
              </w:rPr>
              <w:t>Хореографічний театр ХХ–ХХІ століття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rPr>
                <w:rFonts w:ascii="Times New Roman" w:hAnsi="Times New Roman"/>
                <w:sz w:val="24"/>
                <w:szCs w:val="24"/>
              </w:rPr>
            </w:pPr>
            <w:r w:rsidRPr="00072274">
              <w:rPr>
                <w:rFonts w:ascii="Times New Roman" w:hAnsi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A704D3" w:rsidRDefault="00BA38A1" w:rsidP="00AF33D9">
            <w:pPr>
              <w:rPr>
                <w:rFonts w:ascii="Times New Roman" w:hAnsi="Times New Roman"/>
                <w:sz w:val="24"/>
                <w:szCs w:val="24"/>
              </w:rPr>
            </w:pPr>
            <w:r w:rsidRPr="00A704D3">
              <w:rPr>
                <w:sz w:val="24"/>
              </w:rPr>
              <w:t>Іноземна мова за професійним спрямуванням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Магістерський науковий семінар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rPr>
                <w:sz w:val="24"/>
                <w:szCs w:val="22"/>
              </w:rPr>
            </w:pPr>
            <w:r w:rsidRPr="00072274">
              <w:rPr>
                <w:sz w:val="24"/>
                <w:szCs w:val="22"/>
              </w:rPr>
              <w:t>Тренаж за фахом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snapToGrid w:val="0"/>
              <w:rPr>
                <w:sz w:val="24"/>
                <w:szCs w:val="22"/>
              </w:rPr>
            </w:pPr>
            <w:r w:rsidRPr="00072274">
              <w:rPr>
                <w:sz w:val="24"/>
                <w:szCs w:val="22"/>
              </w:rPr>
              <w:t>Методика викладання хореографічних дисциплін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2274">
              <w:rPr>
                <w:rFonts w:ascii="Times New Roman" w:hAnsi="Times New Roman"/>
                <w:sz w:val="24"/>
                <w:szCs w:val="24"/>
              </w:rPr>
              <w:t>Мистецтво балетмейстера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</w:pPr>
            <w:r w:rsidRPr="00072274">
              <w:t>Педагогічна (асистентська) практика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ind w:right="-108"/>
              <w:rPr>
                <w:sz w:val="24"/>
              </w:rPr>
            </w:pPr>
            <w:r w:rsidRPr="00072274">
              <w:rPr>
                <w:color w:val="000000"/>
                <w:sz w:val="24"/>
              </w:rPr>
              <w:t>Виробнича (переддипломна)</w:t>
            </w:r>
            <w:r w:rsidRPr="00072274">
              <w:rPr>
                <w:b/>
                <w:color w:val="000000"/>
                <w:sz w:val="24"/>
              </w:rPr>
              <w:t xml:space="preserve"> </w:t>
            </w:r>
            <w:r w:rsidRPr="00072274">
              <w:rPr>
                <w:sz w:val="24"/>
              </w:rPr>
              <w:t>практика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jc w:val="center"/>
        </w:trPr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ind w:right="-108"/>
              <w:rPr>
                <w:sz w:val="24"/>
              </w:rPr>
            </w:pPr>
            <w:r w:rsidRPr="00072274">
              <w:rPr>
                <w:sz w:val="24"/>
              </w:rPr>
              <w:t xml:space="preserve">Магістерська робота 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–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gridAfter w:val="1"/>
          <w:wAfter w:w="42" w:type="dxa"/>
          <w:cantSplit/>
          <w:trHeight w:val="633"/>
          <w:jc w:val="center"/>
        </w:trPr>
        <w:tc>
          <w:tcPr>
            <w:tcW w:w="1013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ind w:left="-57" w:right="-57"/>
              <w:jc w:val="center"/>
              <w:rPr>
                <w:b/>
                <w:sz w:val="24"/>
                <w:szCs w:val="26"/>
              </w:rPr>
            </w:pPr>
            <w:r w:rsidRPr="00072274">
              <w:rPr>
                <w:b/>
                <w:sz w:val="24"/>
                <w:szCs w:val="26"/>
              </w:rPr>
              <w:t>2. Вибіркові навчальні дисципліни</w:t>
            </w:r>
          </w:p>
          <w:p w:rsidR="00BA38A1" w:rsidRPr="00072274" w:rsidRDefault="00BA38A1" w:rsidP="00AF33D9">
            <w:pPr>
              <w:ind w:left="-57" w:right="-57"/>
              <w:jc w:val="center"/>
              <w:rPr>
                <w:sz w:val="24"/>
                <w:szCs w:val="26"/>
              </w:rPr>
            </w:pPr>
            <w:r w:rsidRPr="00072274">
              <w:rPr>
                <w:b/>
                <w:sz w:val="24"/>
                <w:szCs w:val="28"/>
              </w:rPr>
              <w:t>2.1. Дисципліни вільного вибору студента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Лекторська майстерність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Педагогічна майстерність викладача вищої школи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lastRenderedPageBreak/>
              <w:t>Сучасна світова університетська освіта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С</w:t>
            </w:r>
            <w:r>
              <w:t>ц</w:t>
            </w:r>
            <w:r w:rsidRPr="00072274">
              <w:t>енографія хореографічних номерів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Творчість балетмейстера драматичного театру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Виконавська майстерність хореографа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Тенденції розвитку балетмейстерської діяльності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Режисура хореографічних творів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rPr>
                <w:szCs w:val="22"/>
              </w:rPr>
              <w:t>Історія та синтез мистецтв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Історія театральної критики ХХ ст.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Дослідження фольклорного танцю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Методологія наукових досліджень хореографічного мистецтва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055DE6">
            <w:pPr>
              <w:snapToGrid w:val="0"/>
              <w:ind w:right="-144"/>
              <w:rPr>
                <w:sz w:val="24"/>
                <w:szCs w:val="22"/>
              </w:rPr>
            </w:pPr>
            <w:r w:rsidRPr="00072274">
              <w:rPr>
                <w:sz w:val="24"/>
                <w:szCs w:val="22"/>
              </w:rPr>
              <w:t>Методологія мистецтвознавства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rPr>
                <w:sz w:val="24"/>
                <w:szCs w:val="22"/>
                <w:lang w:val="en-US"/>
              </w:rPr>
            </w:pPr>
            <w:r w:rsidRPr="00072274">
              <w:rPr>
                <w:sz w:val="24"/>
                <w:szCs w:val="22"/>
              </w:rPr>
              <w:t>Хореологія і балетознавство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/>
              <w:rPr>
                <w:rFonts w:ascii="Antiqua" w:hAnsi="Antiqua"/>
              </w:rPr>
            </w:pPr>
            <w:r w:rsidRPr="00072274">
              <w:rPr>
                <w:szCs w:val="22"/>
              </w:rPr>
              <w:t>Філософія мистецтв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Психологія творчості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szCs w:val="22"/>
              </w:rPr>
            </w:pPr>
            <w:r w:rsidRPr="00072274">
              <w:t>Філософія творчості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rPr>
                <w:sz w:val="24"/>
                <w:szCs w:val="22"/>
              </w:rPr>
            </w:pPr>
            <w:r w:rsidRPr="00072274">
              <w:rPr>
                <w:sz w:val="24"/>
                <w:szCs w:val="22"/>
              </w:rPr>
              <w:t>Менеджмент шоу-бізнесу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</w:pPr>
            <w: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cantSplit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  <w:rPr>
                <w:rFonts w:ascii="Antiqua" w:hAnsi="Antiqua"/>
              </w:rPr>
            </w:pPr>
            <w:r w:rsidRPr="00072274">
              <w:t>Роботи з архівними документами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  <w:rPr>
                <w:rFonts w:ascii="Antiqua" w:hAnsi="Antiqua"/>
              </w:rPr>
            </w:pPr>
            <w:r>
              <w:t>н.п.</w:t>
            </w:r>
          </w:p>
        </w:tc>
      </w:tr>
      <w:tr w:rsidR="00BA38A1" w:rsidRPr="00072274" w:rsidTr="00055DE6">
        <w:trPr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8520BE" w:rsidRDefault="00BA38A1" w:rsidP="00AF33D9">
            <w:pPr>
              <w:pStyle w:val="2"/>
              <w:spacing w:after="0" w:line="240" w:lineRule="auto"/>
              <w:ind w:left="0" w:right="-136"/>
            </w:pPr>
            <w:r w:rsidRPr="00072274">
              <w:t>Організація, планування, управління театральною справою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27" w:right="-2"/>
              <w:jc w:val="center"/>
            </w:pPr>
            <w:r>
              <w:t>н.п.</w:t>
            </w:r>
          </w:p>
        </w:tc>
      </w:tr>
      <w:tr w:rsidR="00BA38A1" w:rsidRPr="00072274" w:rsidTr="00055DE6">
        <w:trPr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BA38A1" w:rsidRPr="00072274" w:rsidRDefault="00BA38A1" w:rsidP="00AF33D9">
            <w:pPr>
              <w:pStyle w:val="2"/>
              <w:spacing w:after="0" w:line="240" w:lineRule="auto"/>
              <w:ind w:left="0" w:right="-136"/>
            </w:pPr>
            <w:r w:rsidRPr="00072274">
              <w:t>Менеджмент соціокультурної діяльності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 w:rsidRPr="00072274">
              <w:rPr>
                <w:sz w:val="24"/>
              </w:rPr>
              <w:t>+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304" w:type="dxa"/>
            <w:gridSpan w:val="2"/>
            <w:vAlign w:val="center"/>
          </w:tcPr>
          <w:p w:rsidR="00BA38A1" w:rsidRPr="00072274" w:rsidRDefault="00BA38A1" w:rsidP="00AF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</w:p>
        </w:tc>
        <w:tc>
          <w:tcPr>
            <w:tcW w:w="1091" w:type="dxa"/>
            <w:gridSpan w:val="2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</w:rPr>
            </w:pPr>
            <w:r w:rsidRPr="00072274">
              <w:rPr>
                <w:rFonts w:ascii="Antiqua" w:hAnsi="Antiqua"/>
              </w:rPr>
              <w:t>+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ind w:left="-27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н.п.</w:t>
            </w:r>
          </w:p>
        </w:tc>
      </w:tr>
    </w:tbl>
    <w:p w:rsidR="008520BE" w:rsidRDefault="008520BE" w:rsidP="00BA38A1">
      <w:pPr>
        <w:spacing w:after="200" w:line="276" w:lineRule="auto"/>
        <w:ind w:firstLine="709"/>
        <w:rPr>
          <w:szCs w:val="26"/>
        </w:rPr>
      </w:pPr>
    </w:p>
    <w:p w:rsidR="00BA38A1" w:rsidRPr="00E34397" w:rsidRDefault="00BA38A1" w:rsidP="00BA38A1">
      <w:pPr>
        <w:spacing w:after="200" w:line="276" w:lineRule="auto"/>
        <w:ind w:firstLine="709"/>
        <w:rPr>
          <w:szCs w:val="26"/>
        </w:rPr>
      </w:pPr>
      <w:r w:rsidRPr="00E34397">
        <w:rPr>
          <w:szCs w:val="26"/>
        </w:rPr>
        <w:lastRenderedPageBreak/>
        <w:t>2. Методичне забезпечення курсового проектування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743"/>
        <w:gridCol w:w="1800"/>
        <w:gridCol w:w="2799"/>
      </w:tblGrid>
      <w:tr w:rsidR="00BA38A1" w:rsidRPr="00072274" w:rsidTr="00AF33D9">
        <w:trPr>
          <w:cantSplit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Найменування навчальної дисципліни</w:t>
            </w:r>
          </w:p>
        </w:tc>
        <w:tc>
          <w:tcPr>
            <w:tcW w:w="2743" w:type="dxa"/>
            <w:vMerge w:val="restart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Семестр, в якому передбачена курсова робота (проект)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Інформація про наявність</w:t>
            </w:r>
          </w:p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(“+” або “</w:t>
            </w:r>
            <w:r>
              <w:rPr>
                <w:rFonts w:ascii="Antiqua" w:hAnsi="Antiqua"/>
                <w:szCs w:val="26"/>
              </w:rPr>
              <w:t>–</w:t>
            </w:r>
            <w:r w:rsidRPr="00072274">
              <w:rPr>
                <w:rFonts w:ascii="Antiqua" w:hAnsi="Antiqua"/>
                <w:szCs w:val="26"/>
              </w:rPr>
              <w:t>”)</w:t>
            </w:r>
          </w:p>
        </w:tc>
      </w:tr>
      <w:tr w:rsidR="00BA38A1" w:rsidRPr="00072274" w:rsidTr="00AF33D9">
        <w:trPr>
          <w:cantSplit/>
        </w:trPr>
        <w:tc>
          <w:tcPr>
            <w:tcW w:w="2405" w:type="dxa"/>
            <w:vMerge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методичних розробок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тематики курсових робіт (проектів)</w:t>
            </w:r>
          </w:p>
        </w:tc>
      </w:tr>
      <w:tr w:rsidR="00BA38A1" w:rsidRPr="00072274" w:rsidTr="00AF33D9">
        <w:trPr>
          <w:cantSplit/>
          <w:trHeight w:val="567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н.п.</w:t>
            </w:r>
          </w:p>
        </w:tc>
        <w:tc>
          <w:tcPr>
            <w:tcW w:w="2743" w:type="dxa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н.п.</w:t>
            </w:r>
          </w:p>
        </w:tc>
        <w:tc>
          <w:tcPr>
            <w:tcW w:w="1800" w:type="dxa"/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н.п.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н.п.</w:t>
            </w:r>
          </w:p>
        </w:tc>
      </w:tr>
    </w:tbl>
    <w:p w:rsidR="00BA38A1" w:rsidRDefault="00BA38A1" w:rsidP="00BA38A1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BA38A1" w:rsidRDefault="00BA38A1" w:rsidP="00BA38A1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BA38A1" w:rsidRPr="00E34397" w:rsidRDefault="00BA38A1" w:rsidP="00BA38A1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BA38A1" w:rsidRPr="00E34397" w:rsidRDefault="00BA38A1" w:rsidP="00BA38A1">
      <w:pPr>
        <w:spacing w:after="200" w:line="276" w:lineRule="auto"/>
        <w:ind w:firstLine="709"/>
        <w:rPr>
          <w:szCs w:val="26"/>
        </w:rPr>
      </w:pPr>
      <w:r w:rsidRPr="00E34397">
        <w:rPr>
          <w:szCs w:val="26"/>
        </w:rPr>
        <w:t>3. Забезпечення програмами і базами для проходження практики</w:t>
      </w:r>
    </w:p>
    <w:tbl>
      <w:tblPr>
        <w:tblW w:w="100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523"/>
        <w:gridCol w:w="1357"/>
        <w:gridCol w:w="1800"/>
        <w:gridCol w:w="1492"/>
        <w:gridCol w:w="2108"/>
      </w:tblGrid>
      <w:tr w:rsidR="00BA38A1" w:rsidRPr="00072274" w:rsidTr="00AF33D9"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Найменування практики</w:t>
            </w:r>
          </w:p>
        </w:tc>
        <w:tc>
          <w:tcPr>
            <w:tcW w:w="1523" w:type="dxa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Семестр, в якому передбачена практика</w:t>
            </w:r>
          </w:p>
        </w:tc>
        <w:tc>
          <w:tcPr>
            <w:tcW w:w="1357" w:type="dxa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Тривалість практики (тижнів)</w:t>
            </w:r>
          </w:p>
        </w:tc>
        <w:tc>
          <w:tcPr>
            <w:tcW w:w="1800" w:type="dxa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Інформація про наявність програм практик</w:t>
            </w:r>
          </w:p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(“+” або “-”)</w:t>
            </w:r>
          </w:p>
        </w:tc>
        <w:tc>
          <w:tcPr>
            <w:tcW w:w="1492" w:type="dxa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Наймену-вання бази для проход-ження практики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BA38A1" w:rsidRPr="00072274" w:rsidTr="00AF33D9"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t>Педагогічна (асистентська) практика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+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ЛНУ ім. Івана Франка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>
              <w:rPr>
                <w:szCs w:val="28"/>
              </w:rPr>
              <w:t>н.п.</w:t>
            </w:r>
          </w:p>
        </w:tc>
      </w:tr>
      <w:tr w:rsidR="00BA38A1" w:rsidRPr="00072274" w:rsidTr="00AF33D9"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color w:val="000000"/>
              </w:rPr>
              <w:t>Виробнича (переддипломна)</w:t>
            </w:r>
            <w:r w:rsidRPr="00072274">
              <w:rPr>
                <w:b/>
                <w:color w:val="000000"/>
              </w:rPr>
              <w:t xml:space="preserve"> </w:t>
            </w:r>
            <w:r w:rsidRPr="00072274">
              <w:t>практика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>+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 w:rsidRPr="00072274">
              <w:rPr>
                <w:rFonts w:ascii="Antiqua" w:hAnsi="Antiqua"/>
                <w:szCs w:val="26"/>
              </w:rPr>
              <w:t xml:space="preserve">ЛНУ ім. Івана Франка 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A1" w:rsidRPr="00072274" w:rsidRDefault="00BA38A1" w:rsidP="00AF33D9">
            <w:pPr>
              <w:pStyle w:val="2"/>
              <w:spacing w:after="0" w:line="240" w:lineRule="auto"/>
              <w:ind w:left="-125" w:right="-136"/>
              <w:jc w:val="center"/>
              <w:rPr>
                <w:rFonts w:ascii="Antiqua" w:hAnsi="Antiqua"/>
                <w:szCs w:val="26"/>
              </w:rPr>
            </w:pPr>
            <w:r>
              <w:rPr>
                <w:szCs w:val="28"/>
              </w:rPr>
              <w:t>н.п.</w:t>
            </w:r>
          </w:p>
        </w:tc>
      </w:tr>
    </w:tbl>
    <w:p w:rsidR="00BA38A1" w:rsidRPr="00E34397" w:rsidRDefault="00BA38A1" w:rsidP="00BA38A1">
      <w:pPr>
        <w:rPr>
          <w:sz w:val="28"/>
          <w:szCs w:val="28"/>
        </w:rPr>
      </w:pPr>
    </w:p>
    <w:p w:rsidR="00BA38A1" w:rsidRDefault="00BA38A1" w:rsidP="00BA38A1">
      <w:pPr>
        <w:rPr>
          <w:spacing w:val="-4"/>
          <w:sz w:val="28"/>
          <w:szCs w:val="28"/>
        </w:rPr>
      </w:pPr>
    </w:p>
    <w:p w:rsidR="008520BE" w:rsidRDefault="008520BE" w:rsidP="00BA38A1">
      <w:pPr>
        <w:rPr>
          <w:spacing w:val="-4"/>
          <w:sz w:val="28"/>
          <w:szCs w:val="28"/>
        </w:rPr>
      </w:pPr>
    </w:p>
    <w:p w:rsidR="008520BE" w:rsidRPr="00E34397" w:rsidRDefault="008520BE" w:rsidP="00BA38A1">
      <w:pPr>
        <w:rPr>
          <w:spacing w:val="-4"/>
          <w:sz w:val="28"/>
          <w:szCs w:val="28"/>
        </w:rPr>
      </w:pPr>
    </w:p>
    <w:p w:rsidR="00BA38A1" w:rsidRPr="00E34397" w:rsidRDefault="00BA38A1" w:rsidP="00BA38A1">
      <w:pPr>
        <w:rPr>
          <w:spacing w:val="-4"/>
          <w:sz w:val="28"/>
          <w:szCs w:val="28"/>
        </w:rPr>
      </w:pPr>
    </w:p>
    <w:p w:rsidR="00BA38A1" w:rsidRPr="00E34397" w:rsidRDefault="00BA38A1" w:rsidP="00BA38A1">
      <w:pPr>
        <w:rPr>
          <w:spacing w:val="-4"/>
          <w:sz w:val="28"/>
          <w:szCs w:val="28"/>
        </w:rPr>
      </w:pPr>
    </w:p>
    <w:p w:rsidR="00BA38A1" w:rsidRPr="00E34397" w:rsidRDefault="00BA38A1" w:rsidP="00BA38A1">
      <w:pPr>
        <w:pStyle w:val="2"/>
        <w:spacing w:line="240" w:lineRule="auto"/>
        <w:ind w:left="567"/>
        <w:rPr>
          <w:b/>
          <w:bCs/>
          <w:sz w:val="28"/>
          <w:szCs w:val="28"/>
        </w:rPr>
      </w:pPr>
      <w:r w:rsidRPr="00E34397">
        <w:rPr>
          <w:b/>
          <w:bCs/>
          <w:sz w:val="28"/>
          <w:szCs w:val="28"/>
        </w:rPr>
        <w:t xml:space="preserve">Ректор </w:t>
      </w:r>
      <w:r w:rsidRPr="00E34397">
        <w:rPr>
          <w:b/>
          <w:bCs/>
          <w:sz w:val="28"/>
          <w:szCs w:val="28"/>
        </w:rPr>
        <w:tab/>
      </w:r>
      <w:r w:rsidRPr="00E34397">
        <w:rPr>
          <w:b/>
          <w:bCs/>
          <w:sz w:val="28"/>
          <w:szCs w:val="28"/>
        </w:rPr>
        <w:tab/>
      </w:r>
      <w:r w:rsidRPr="00E34397">
        <w:rPr>
          <w:b/>
          <w:bCs/>
          <w:sz w:val="28"/>
          <w:szCs w:val="28"/>
        </w:rPr>
        <w:tab/>
        <w:t>___________________ проф. В. П. Мельник</w:t>
      </w:r>
    </w:p>
    <w:p w:rsidR="00C86C4D" w:rsidRDefault="00C86C4D"/>
    <w:sectPr w:rsidR="00C86C4D" w:rsidSect="0053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1"/>
    <w:rsid w:val="00055DE6"/>
    <w:rsid w:val="000B0A51"/>
    <w:rsid w:val="003B76B2"/>
    <w:rsid w:val="00504E25"/>
    <w:rsid w:val="006C7CC9"/>
    <w:rsid w:val="007C671E"/>
    <w:rsid w:val="008520BE"/>
    <w:rsid w:val="008D795A"/>
    <w:rsid w:val="0093366A"/>
    <w:rsid w:val="009A7AD8"/>
    <w:rsid w:val="00B20214"/>
    <w:rsid w:val="00BA38A1"/>
    <w:rsid w:val="00BB3872"/>
    <w:rsid w:val="00C86C4D"/>
    <w:rsid w:val="00D42639"/>
    <w:rsid w:val="00EB4BDA"/>
    <w:rsid w:val="00EC51F1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1"/>
    <w:pPr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A38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BA3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1"/>
    <w:pPr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A38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BA3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2017-02-22T08:32:00Z</cp:lastPrinted>
  <dcterms:created xsi:type="dcterms:W3CDTF">2017-05-24T14:05:00Z</dcterms:created>
  <dcterms:modified xsi:type="dcterms:W3CDTF">2017-05-24T14:05:00Z</dcterms:modified>
</cp:coreProperties>
</file>